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851"/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pBdr>
          <w:bottom w:val="single" w:color="000000" w:sz="12" w:space="1"/>
        </w:pBdr>
        <w:outlineLvl w:val="1"/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851"/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8"/>
          <w:szCs w:val="28"/>
          <w:lang w:eastAsia="ru-RU"/>
        </w:rPr>
        <w:pBdr>
          <w:bottom w:val="single" w:color="000000" w:sz="12" w:space="1"/>
        </w:pBdr>
        <w:outlineLvl w:val="1"/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Обоснование начальной (максимальной) цены договора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851"/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8"/>
          <w:szCs w:val="28"/>
          <w:lang w:eastAsia="ru-RU"/>
        </w:rPr>
        <w:pBdr>
          <w:bottom w:val="single" w:color="000000" w:sz="12" w:space="1"/>
        </w:pBdr>
        <w:outlineLvl w:val="1"/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cs="Times New Roman"/>
          <w:b/>
          <w:bCs/>
          <w:sz w:val="26"/>
          <w:szCs w:val="26"/>
        </w:rPr>
        <w:pBdr>
          <w:bottom w:val="single" w:color="000000" w:sz="12" w:space="1"/>
        </w:pBdr>
        <w:outlineLvl w:val="1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на выполнение работ по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техническому обслуживанию</w:t>
      </w:r>
      <w:bookmarkStart w:id="0" w:name="_GoBack"/>
      <w:r/>
      <w:bookmarkEnd w:id="0"/>
      <w:r>
        <w:rPr>
          <w:rFonts w:ascii="Times New Roman" w:hAnsi="Times New Roman" w:cs="Times New Roman"/>
          <w:b/>
          <w:bCs/>
          <w:sz w:val="26"/>
          <w:szCs w:val="26"/>
        </w:rPr>
        <w:t xml:space="preserve"> транспортных средств импортного производства, находящихся на балансе </w:t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cs="Times New Roman"/>
          <w:b/>
          <w:sz w:val="26"/>
          <w:szCs w:val="26"/>
        </w:rPr>
        <w:pBdr>
          <w:bottom w:val="single" w:color="000000" w:sz="12" w:space="1"/>
        </w:pBdr>
        <w:outlineLvl w:val="1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филиала «Новая Москва»</w:t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cs="Times New Roman"/>
          <w:sz w:val="28"/>
          <w:szCs w:val="28"/>
          <w:lang w:val="en-US"/>
        </w:rPr>
        <w:pBdr>
          <w:bottom w:val="single" w:color="000000" w:sz="12" w:space="1"/>
        </w:pBdr>
        <w:outlineLvl w:val="1"/>
      </w:pPr>
      <w:r>
        <w:rPr>
          <w:rFonts w:ascii="Times New Roman" w:hAnsi="Times New Roman" w:cs="Times New Roman"/>
          <w:sz w:val="28"/>
          <w:szCs w:val="28"/>
        </w:rPr>
        <w:t xml:space="preserve">Лот: </w:t>
      </w:r>
      <w:r>
        <w:rPr>
          <w:rFonts w:ascii="Times New Roman" w:hAnsi="Times New Roman" w:cs="Times New Roman"/>
          <w:sz w:val="28"/>
          <w:szCs w:val="28"/>
          <w:lang w:val="en-US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8"/>
          <w:szCs w:val="28"/>
          <w:vertAlign w:val="superscript"/>
          <w:lang w:eastAsia="ru-RU"/>
        </w:rPr>
        <w:pBdr>
          <w:bottom w:val="single" w:color="000000" w:sz="12" w:space="1"/>
        </w:pBdr>
        <w:outlineLvl w:val="1"/>
      </w:pPr>
      <w:r>
        <w:rPr>
          <w:rFonts w:ascii="Times New Roman" w:hAnsi="Times New Roman" w:eastAsia="Times New Roman" w:cs="Times New Roman"/>
          <w:sz w:val="28"/>
          <w:szCs w:val="28"/>
          <w:vertAlign w:val="superscript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vertAlign w:val="superscript"/>
          <w:lang w:eastAsia="ru-RU"/>
        </w:rPr>
      </w:r>
    </w:p>
    <w:tbl>
      <w:tblPr>
        <w:tblStyle w:val="729"/>
        <w:tblW w:w="5000" w:type="pct"/>
        <w:tblLayout w:type="fixed"/>
        <w:tblLook w:val="04A0" w:firstRow="1" w:lastRow="0" w:firstColumn="1" w:lastColumn="0" w:noHBand="0" w:noVBand="1"/>
      </w:tblPr>
      <w:tblGrid>
        <w:gridCol w:w="4393"/>
        <w:gridCol w:w="4962"/>
      </w:tblGrid>
      <w:tr>
        <w:tblPrEx/>
        <w:trPr/>
        <w:tc>
          <w:tcPr>
            <w:tcW w:w="4393" w:type="dxa"/>
            <w:textDirection w:val="lrTb"/>
            <w:noWrap w:val="false"/>
          </w:tcPr>
          <w:p>
            <w:pPr>
              <w:spacing w:after="30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W w:w="4962" w:type="dxa"/>
            <w:textDirection w:val="lrTb"/>
            <w:noWrap w:val="false"/>
          </w:tcPr>
          <w:p>
            <w:pPr>
              <w:spacing w:after="30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500 000,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руб.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, в том числе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НДС 22%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  <w:p>
            <w:pPr>
              <w:spacing w:after="30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tcW w:w="4393" w:type="dxa"/>
            <w:textDirection w:val="lrTb"/>
            <w:noWrap w:val="false"/>
          </w:tcPr>
          <w:p>
            <w:pPr>
              <w:spacing w:after="30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Используемый метод определения начальной (максимальной) цены договора  с обоснованием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W w:w="4962" w:type="dxa"/>
            <w:textDirection w:val="lrTb"/>
            <w:noWrap w:val="false"/>
          </w:tcPr>
          <w:p>
            <w:pPr>
              <w:spacing w:after="30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Метод сопоставимых рыночных цен (анализа рынка)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tcW w:w="439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pacing w:after="30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W w:w="4962" w:type="dxa"/>
            <w:textDirection w:val="lrTb"/>
            <w:noWrap w:val="false"/>
          </w:tcPr>
          <w:p>
            <w:pPr>
              <w:spacing w:after="30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/>
            <w:hyperlink r:id="rId10" w:tooltip="https://rossetimr.ru/zakupki/prav_obesp/2021/2021-29-06-prikaz-479.zip" w:history="1">
              <w:r>
                <w:rPr>
                  <w:rFonts w:ascii="Times New Roman" w:hAnsi="Times New Roman" w:eastAsia="Times New Roman" w:cs="Times New Roman"/>
                  <w:sz w:val="28"/>
                  <w:szCs w:val="28"/>
                  <w:lang w:eastAsia="ru-RU"/>
                </w:rPr>
                <w:t xml:space="preserve">Приказ №</w:t>
              </w:r>
              <w:r>
                <w:rPr>
                  <w:rFonts w:ascii="Times New Roman" w:hAnsi="Times New Roman" w:eastAsia="Times New Roman" w:cs="Times New Roman"/>
                  <w:sz w:val="28"/>
                  <w:szCs w:val="28"/>
                  <w:lang w:eastAsia="ru-RU"/>
                </w:rPr>
                <w:t xml:space="preserve"> 1</w:t>
              </w:r>
              <w:r>
                <w:rPr>
                  <w:rFonts w:ascii="Times New Roman" w:hAnsi="Times New Roman" w:eastAsia="Times New Roman" w:cs="Times New Roman"/>
                  <w:sz w:val="28"/>
                  <w:szCs w:val="28"/>
                  <w:lang w:eastAsia="ru-RU"/>
                </w:rPr>
                <w:t xml:space="preserve">317</w:t>
              </w:r>
              <w:r>
                <w:rPr>
                  <w:rFonts w:ascii="Times New Roman" w:hAnsi="Times New Roman" w:eastAsia="Times New Roman" w:cs="Times New Roman"/>
                  <w:sz w:val="28"/>
                  <w:szCs w:val="28"/>
                  <w:lang w:eastAsia="ru-RU"/>
                </w:rPr>
                <w:t xml:space="preserve"> от </w:t>
              </w:r>
              <w:r>
                <w:rPr>
                  <w:rFonts w:ascii="Times New Roman" w:hAnsi="Times New Roman" w:eastAsia="Times New Roman" w:cs="Times New Roman"/>
                  <w:sz w:val="28"/>
                  <w:szCs w:val="28"/>
                  <w:lang w:eastAsia="ru-RU"/>
                </w:rPr>
                <w:t xml:space="preserve">21.12.2023</w:t>
              </w:r>
              <w:r>
                <w:rPr>
                  <w:rFonts w:ascii="Times New Roman" w:hAnsi="Times New Roman" w:eastAsia="Times New Roman" w:cs="Times New Roman"/>
                  <w:sz w:val="28"/>
                  <w:szCs w:val="28"/>
                  <w:lang w:eastAsia="ru-RU"/>
                </w:rPr>
                <w:t xml:space="preserve"> г. </w:t>
              </w:r>
            </w:hyperlink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  <w:p>
            <w:pPr>
              <w:spacing w:after="30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/>
            <w:hyperlink r:id="rId11" w:tooltip="https://rossetimr.ru/zakupki/prav_obesp/" w:history="1">
              <w:r>
                <w:rPr>
                  <w:rFonts w:ascii="Times New Roman" w:hAnsi="Times New Roman" w:eastAsia="Times New Roman" w:cs="Times New Roman"/>
                  <w:sz w:val="28"/>
                  <w:szCs w:val="28"/>
                  <w:lang w:eastAsia="ru-RU"/>
                </w:rPr>
                <w:t xml:space="preserve">https://rossetimr.ru/zakupki/prav_obesp/</w:t>
              </w:r>
            </w:hyperlink>
            <w:r/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tcW w:w="4393" w:type="dxa"/>
            <w:textDirection w:val="lrTb"/>
            <w:noWrap w:val="false"/>
          </w:tcPr>
          <w:p>
            <w:pPr>
              <w:spacing w:after="30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W w:w="4962" w:type="dxa"/>
            <w:textDirection w:val="lrTb"/>
            <w:noWrap w:val="false"/>
          </w:tcPr>
          <w:p>
            <w:pPr>
              <w:spacing w:after="30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Расчет прилагается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</w:tbl>
    <w:p>
      <w:pPr>
        <w:ind w:firstLine="851"/>
        <w:spacing w:after="0" w:line="240" w:lineRule="auto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727"/>
        <w:jc w:val="center"/>
        <w:spacing w:after="0"/>
        <w:tabs>
          <w:tab w:val="left" w:pos="1134" w:leader="none"/>
          <w:tab w:val="left" w:pos="1680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Расчет начальной (максимальной) цены договора:</w:t>
      </w:r>
      <w:r>
        <w:rPr>
          <w:b/>
          <w:sz w:val="28"/>
          <w:szCs w:val="28"/>
        </w:rPr>
      </w:r>
    </w:p>
    <w:p>
      <w:pPr>
        <w:pStyle w:val="727"/>
        <w:jc w:val="center"/>
        <w:spacing w:after="0"/>
        <w:tabs>
          <w:tab w:val="left" w:pos="1134" w:leader="none"/>
          <w:tab w:val="left" w:pos="1680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tbl>
      <w:tblPr>
        <w:tblW w:w="9623" w:type="dxa"/>
        <w:tblInd w:w="-490" w:type="dxa"/>
        <w:tblLayout w:type="fixed"/>
        <w:tblLook w:val="04A0" w:firstRow="1" w:lastRow="0" w:firstColumn="1" w:lastColumn="0" w:noHBand="0" w:noVBand="1"/>
      </w:tblPr>
      <w:tblGrid>
        <w:gridCol w:w="735"/>
        <w:gridCol w:w="2415"/>
        <w:gridCol w:w="1701"/>
        <w:gridCol w:w="2268"/>
        <w:gridCol w:w="2504"/>
      </w:tblGrid>
      <w:tr>
        <w:tblPrEx/>
        <w:trPr>
          <w:trHeight w:val="1372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п/п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41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закупаемой услуги/ продукции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менование поставщика /подрядчика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Стоимость по ТКП, или прайс-листу, или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мониторингу рынка, тыс. руб. 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НДС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0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Расчетная цена закупки на осн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ове анализа  стоимости, руб. 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НДС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5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41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0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1527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1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right w:val="single" w:color="auto" w:sz="4" w:space="0"/>
            </w:tcBorders>
            <w:tcW w:w="241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ыполнение работ по техническому ремонту транспортных средств импортного производства, находящихся на балансе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филиала «Новая Москва»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Контрагент 1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250</w:t>
            </w:r>
            <w:r>
              <w:rPr>
                <w:sz w:val="20"/>
                <w:szCs w:val="20"/>
              </w:rPr>
              <w:t xml:space="preserve">0,00</w:t>
            </w:r>
            <w:r>
              <w:rPr>
                <w:sz w:val="20"/>
                <w:szCs w:val="20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04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2142,00</w:t>
            </w: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r>
          </w:p>
        </w:tc>
      </w:tr>
      <w:tr>
        <w:tblPrEx/>
        <w:trPr>
          <w:trHeight w:val="1124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2415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Контрагент 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>
              <w:rPr>
                <w:sz w:val="20"/>
                <w:szCs w:val="20"/>
              </w:rPr>
              <w:t xml:space="preserve">2800</w:t>
            </w:r>
            <w:r>
              <w:rPr>
                <w:sz w:val="20"/>
                <w:szCs w:val="20"/>
              </w:rPr>
              <w:t xml:space="preserve">,00</w:t>
            </w:r>
            <w: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04" w:type="dxa"/>
            <w:vAlign w:val="center"/>
            <w:vMerge w:val="continue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r>
          </w:p>
        </w:tc>
      </w:tr>
      <w:tr>
        <w:tblPrEx/>
        <w:trPr>
          <w:trHeight w:val="1167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3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415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Контрагент 3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sz w:val="20"/>
                <w:szCs w:val="20"/>
              </w:rPr>
              <w:t xml:space="preserve">2142,00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04" w:type="dxa"/>
            <w:vAlign w:val="center"/>
            <w:vMerge w:val="continue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r>
          </w:p>
        </w:tc>
      </w:tr>
      <w:tr>
        <w:tblPrEx/>
        <w:trPr>
          <w:trHeight w:val="545"/>
        </w:trPr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Итого: Наименьшее значение по строкам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0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2142,00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r>
          </w:p>
        </w:tc>
      </w:tr>
    </w:tbl>
    <w:p>
      <w:pPr>
        <w:jc w:val="both"/>
        <w:tabs>
          <w:tab w:val="left" w:pos="-108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sectPr>
      <w:footnotePr/>
      <w:endnotePr/>
      <w:type w:val="nextPage"/>
      <w:pgSz w:w="11906" w:h="16838" w:orient="portrait"/>
      <w:pgMar w:top="851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panose1 w:val="02010600030101010101"/>
  </w:font>
  <w:font w:name="Segoe UI">
    <w:panose1 w:val="020B0502040204020203"/>
  </w:font>
  <w:font w:name="Times New Roman">
    <w:panose1 w:val="02020603050405020304"/>
  </w:font>
  <w:font w:name="Calibri">
    <w:panose1 w:val="020F0502020204030204"/>
  </w:font>
  <w:font w:name="Liberation Sans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86" w:hanging="43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 w:ascii="Times New Roman" w:hAnsi="Times New Roman" w:cs="Times New Roman"/>
        <w:b w:val="0"/>
        <w:sz w:val="22"/>
        <w:szCs w:val="22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 w:ascii="Times New Roman" w:hAnsi="Times New Roman" w:cs="Times New Roman"/>
        <w:sz w:val="22"/>
        <w:szCs w:val="22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89"/>
      </w:pPr>
      <w:rPr>
        <w:rFonts w:hint="default" w:ascii="Times New Roman" w:hAnsi="Times New Roman" w:eastAsia="Calibri" w:cs="Times New Roman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852"/>
      </w:pPr>
      <w:rPr>
        <w:rFonts w:hint="default" w:ascii="Times New Roman" w:hAnsi="Times New Roman" w:eastAsia="Calibri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russianLower"/>
      <w:isLgl w:val="false"/>
      <w:suff w:val="tab"/>
      <w:lvlText w:val="%3)"/>
      <w:lvlJc w:val="left"/>
      <w:pPr>
        <w:ind w:left="1970"/>
      </w:pPr>
      <w:rPr>
        <w:rFonts w:hint="default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10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180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252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324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396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46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5">
    <w:multiLevelType w:val="hybridMultilevel"/>
    <w:lvl w:ilvl="0">
      <w:start w:val="1"/>
      <w:numFmt w:val="decimal"/>
      <w:pStyle w:val="736"/>
      <w:isLgl w:val="false"/>
      <w:suff w:val="tab"/>
      <w:lvlText w:val="%1."/>
      <w:lvlJc w:val="left"/>
      <w:pPr>
        <w:ind w:left="420" w:hanging="420"/>
        <w:tabs>
          <w:tab w:val="num" w:pos="420" w:leader="none"/>
        </w:tabs>
      </w:pPr>
      <w:rPr>
        <w:rFonts w:hint="default"/>
      </w:rPr>
    </w:lvl>
    <w:lvl w:ilvl="1">
      <w:start w:val="1"/>
      <w:numFmt w:val="decimal"/>
      <w:pStyle w:val="730"/>
      <w:isLgl w:val="false"/>
      <w:suff w:val="tab"/>
      <w:lvlText w:val="%1.%2."/>
      <w:lvlJc w:val="left"/>
      <w:pPr>
        <w:ind w:left="1413" w:hanging="420"/>
        <w:tabs>
          <w:tab w:val="num" w:pos="1413" w:leader="none"/>
        </w:tabs>
      </w:pPr>
      <w:rPr>
        <w:rFonts w:hint="default"/>
        <w:lang w:val="ru-RU"/>
      </w:rPr>
    </w:lvl>
    <w:lvl w:ilvl="2">
      <w:start w:val="1"/>
      <w:numFmt w:val="decimal"/>
      <w:pStyle w:val="731"/>
      <w:isLgl w:val="false"/>
      <w:suff w:val="tab"/>
      <w:lvlText w:val="%1.%2.%3."/>
      <w:lvlJc w:val="left"/>
      <w:pPr>
        <w:ind w:left="1713" w:hanging="720"/>
        <w:tabs>
          <w:tab w:val="num" w:pos="1713" w:leader="none"/>
        </w:tabs>
      </w:pPr>
      <w:rPr>
        <w:rFonts w:hint="default"/>
        <w:i w:val="0"/>
        <w:lang w:val="ru-RU"/>
      </w:rPr>
    </w:lvl>
    <w:lvl w:ilvl="3">
      <w:start w:val="1"/>
      <w:numFmt w:val="decimal"/>
      <w:pStyle w:val="733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pStyle w:val="734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pStyle w:val="735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isLgl w:val="false"/>
      <w:suff w:val="tab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571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russianLower"/>
      <w:isLgl w:val="false"/>
      <w:suff w:val="tab"/>
      <w:lvlText w:val="%3)"/>
      <w:lvlJc w:val="left"/>
      <w:pPr>
        <w:ind w:left="1429" w:hanging="720"/>
      </w:pPr>
      <w:rPr>
        <w:rFonts w:hint="default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16" w:hanging="390"/>
        <w:tabs>
          <w:tab w:val="num" w:pos="816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11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isLgl w:val="false"/>
      <w:suff w:val="tab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1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isLgl w:val="false"/>
      <w:suff w:val="tab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isLgl w:val="false"/>
      <w:suff w:val="tab"/>
      <w:lvlText w:val="%3)"/>
      <w:lvlJc w:val="left"/>
      <w:pPr>
        <w:ind w:left="3274" w:hanging="720"/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571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</w:lvl>
  </w:abstractNum>
  <w:abstractNum w:abstractNumId="16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isLgl w:val="false"/>
      <w:suff w:val="tab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isLgl w:val="false"/>
      <w:suff w:val="tab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 w:cs="Times New Roman"/>
      </w:r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  <w:rPr>
        <w:rFonts w:cs="Times New Roman"/>
      </w:rPr>
    </w:lvl>
    <w:lvl w:ilvl="2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  <w:rPr>
        <w:rFonts w:cs="Times New Roman"/>
      </w:rPr>
    </w:lvl>
    <w:lvl w:ilvl="3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  <w:rPr>
        <w:rFonts w:cs="Times New Roman"/>
      </w:rPr>
    </w:lvl>
    <w:lvl w:ilvl="4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  <w:rPr>
        <w:rFonts w:cs="Times New Roman"/>
      </w:r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  <w:rPr>
        <w:rFonts w:cs="Times New Roman"/>
      </w:rPr>
    </w:lvl>
    <w:lvl w:ilvl="6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  <w:rPr>
        <w:rFonts w:cs="Times New Roman"/>
      </w:rPr>
    </w:lvl>
    <w:lvl w:ilvl="7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  <w:rPr>
        <w:rFonts w:cs="Times New Roman"/>
      </w:rPr>
    </w:lvl>
    <w:lvl w:ilvl="8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  <w:rPr>
        <w:rFonts w:cs="Times New Roman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89"/>
      </w:pPr>
      <w:rPr>
        <w:rFonts w:hint="default" w:ascii="Times New Roman" w:hAnsi="Times New Roman" w:eastAsia="Calibri" w:cs="Times New Roman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852"/>
      </w:pPr>
      <w:rPr>
        <w:rFonts w:hint="default" w:ascii="Times New Roman" w:hAnsi="Times New Roman" w:eastAsia="Calibri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decimal"/>
      <w:isLgl w:val="false"/>
      <w:suff w:val="tab"/>
      <w:lvlText w:val="%1.%2.%3"/>
      <w:lvlJc w:val="left"/>
      <w:pPr>
        <w:ind w:left="1970"/>
      </w:pPr>
      <w:rPr>
        <w:rFonts w:hint="default" w:ascii="Times New Roman" w:hAnsi="Times New Roman" w:eastAsia="Calibri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10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180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252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324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396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46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2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571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num w:numId="1">
    <w:abstractNumId w:val="8"/>
  </w:num>
  <w:num w:numId="2">
    <w:abstractNumId w:val="21"/>
  </w:num>
  <w:num w:numId="3">
    <w:abstractNumId w:val="14"/>
  </w:num>
  <w:num w:numId="4">
    <w:abstractNumId w:val="3"/>
  </w:num>
  <w:num w:numId="5">
    <w:abstractNumId w:val="15"/>
  </w:num>
  <w:num w:numId="6">
    <w:abstractNumId w:val="1"/>
  </w:num>
  <w:num w:numId="7">
    <w:abstractNumId w:val="12"/>
  </w:num>
  <w:num w:numId="8">
    <w:abstractNumId w:val="19"/>
  </w:num>
  <w:num w:numId="9">
    <w:abstractNumId w:val="6"/>
  </w:num>
  <w:num w:numId="10">
    <w:abstractNumId w:val="13"/>
  </w:num>
  <w:num w:numId="11">
    <w:abstractNumId w:val="9"/>
  </w:num>
  <w:num w:numId="12">
    <w:abstractNumId w:val="4"/>
  </w:num>
  <w:num w:numId="13">
    <w:abstractNumId w:val="16"/>
  </w:num>
  <w:num w:numId="14">
    <w:abstractNumId w:val="11"/>
  </w:num>
  <w:num w:numId="15">
    <w:abstractNumId w:val="7"/>
  </w:num>
  <w:num w:numId="16">
    <w:abstractNumId w:val="18"/>
  </w:num>
  <w:num w:numId="17">
    <w:abstractNumId w:val="0"/>
  </w:num>
  <w:num w:numId="18">
    <w:abstractNumId w:val="2"/>
  </w:num>
  <w:num w:numId="19">
    <w:abstractNumId w:val="20"/>
  </w:num>
  <w:num w:numId="20">
    <w:abstractNumId w:val="5"/>
  </w:num>
  <w:num w:numId="21">
    <w:abstractNumId w:val="10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698"/>
    <w:next w:val="698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699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98"/>
    <w:next w:val="698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699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98"/>
    <w:next w:val="698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699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98"/>
    <w:next w:val="698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699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98"/>
    <w:next w:val="698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699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98"/>
    <w:next w:val="698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699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98"/>
    <w:next w:val="698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699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698"/>
    <w:next w:val="698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699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98"/>
    <w:next w:val="698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699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4">
    <w:name w:val="No Spacing"/>
    <w:uiPriority w:val="1"/>
    <w:qFormat/>
    <w:pPr>
      <w:spacing w:before="0" w:after="0" w:line="240" w:lineRule="auto"/>
    </w:pPr>
  </w:style>
  <w:style w:type="paragraph" w:styleId="35">
    <w:name w:val="Title"/>
    <w:basedOn w:val="698"/>
    <w:next w:val="698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699"/>
    <w:link w:val="35"/>
    <w:uiPriority w:val="10"/>
    <w:rPr>
      <w:sz w:val="48"/>
      <w:szCs w:val="48"/>
    </w:rPr>
  </w:style>
  <w:style w:type="paragraph" w:styleId="37">
    <w:name w:val="Subtitle"/>
    <w:basedOn w:val="698"/>
    <w:next w:val="698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699"/>
    <w:link w:val="37"/>
    <w:uiPriority w:val="11"/>
    <w:rPr>
      <w:sz w:val="24"/>
      <w:szCs w:val="24"/>
    </w:rPr>
  </w:style>
  <w:style w:type="paragraph" w:styleId="39">
    <w:name w:val="Quote"/>
    <w:basedOn w:val="698"/>
    <w:next w:val="698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98"/>
    <w:next w:val="698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character" w:styleId="44">
    <w:name w:val="Header Char"/>
    <w:basedOn w:val="699"/>
    <w:link w:val="708"/>
    <w:uiPriority w:val="99"/>
  </w:style>
  <w:style w:type="character" w:styleId="46">
    <w:name w:val="Footer Char"/>
    <w:basedOn w:val="699"/>
    <w:link w:val="704"/>
    <w:uiPriority w:val="99"/>
  </w:style>
  <w:style w:type="character" w:styleId="48">
    <w:name w:val="Caption Char"/>
    <w:basedOn w:val="699"/>
    <w:link w:val="723"/>
    <w:uiPriority w:val="35"/>
    <w:rPr>
      <w:b/>
      <w:bCs/>
      <w:color w:val="4f81bd" w:themeColor="accent1"/>
      <w:sz w:val="18"/>
      <w:szCs w:val="18"/>
    </w:rPr>
  </w:style>
  <w:style w:type="table" w:styleId="50">
    <w:name w:val="Table Grid Light"/>
    <w:basedOn w:val="70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70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70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7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7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7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7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7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7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7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7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7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7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7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7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7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7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7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7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7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7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7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7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7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7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7">
    <w:name w:val="Footnote Text Char"/>
    <w:link w:val="720"/>
    <w:uiPriority w:val="99"/>
    <w:rPr>
      <w:sz w:val="18"/>
    </w:rPr>
  </w:style>
  <w:style w:type="paragraph" w:styleId="179">
    <w:name w:val="endnote text"/>
    <w:basedOn w:val="698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699"/>
    <w:uiPriority w:val="99"/>
    <w:semiHidden/>
    <w:unhideWhenUsed/>
    <w:rPr>
      <w:vertAlign w:val="superscript"/>
    </w:rPr>
  </w:style>
  <w:style w:type="paragraph" w:styleId="182">
    <w:name w:val="toc 1"/>
    <w:basedOn w:val="698"/>
    <w:next w:val="698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98"/>
    <w:next w:val="698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98"/>
    <w:next w:val="698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98"/>
    <w:next w:val="698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98"/>
    <w:next w:val="698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98"/>
    <w:next w:val="698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98"/>
    <w:next w:val="698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98"/>
    <w:next w:val="698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98"/>
    <w:next w:val="698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98"/>
    <w:next w:val="698"/>
    <w:uiPriority w:val="99"/>
    <w:unhideWhenUsed/>
    <w:pPr>
      <w:spacing w:after="0" w:afterAutospacing="0"/>
    </w:pPr>
  </w:style>
  <w:style w:type="paragraph" w:styleId="698" w:default="1">
    <w:name w:val="Normal"/>
    <w:qFormat/>
  </w:style>
  <w:style w:type="character" w:styleId="699" w:default="1">
    <w:name w:val="Default Paragraph Font"/>
    <w:uiPriority w:val="1"/>
    <w:semiHidden/>
    <w:unhideWhenUsed/>
  </w:style>
  <w:style w:type="table" w:styleId="70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1" w:default="1">
    <w:name w:val="No List"/>
    <w:uiPriority w:val="99"/>
    <w:semiHidden/>
    <w:unhideWhenUsed/>
  </w:style>
  <w:style w:type="paragraph" w:styleId="702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703" w:customStyle="1">
    <w:name w:val="ConsPlusTitle"/>
    <w:pPr>
      <w:spacing w:after="0" w:line="240" w:lineRule="auto"/>
      <w:widowControl w:val="off"/>
    </w:pPr>
    <w:rPr>
      <w:rFonts w:ascii="Calibri" w:hAnsi="Calibri" w:eastAsia="Times New Roman" w:cs="Calibri"/>
      <w:b/>
      <w:szCs w:val="20"/>
      <w:lang w:eastAsia="ru-RU"/>
    </w:rPr>
  </w:style>
  <w:style w:type="paragraph" w:styleId="704">
    <w:name w:val="Footer"/>
    <w:basedOn w:val="698"/>
    <w:link w:val="705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705" w:customStyle="1">
    <w:name w:val="Нижний колонтитул Знак"/>
    <w:basedOn w:val="699"/>
    <w:link w:val="704"/>
    <w:uiPriority w:val="99"/>
  </w:style>
  <w:style w:type="paragraph" w:styleId="706">
    <w:name w:val="List Paragraph"/>
    <w:basedOn w:val="698"/>
    <w:uiPriority w:val="34"/>
    <w:qFormat/>
    <w:pPr>
      <w:contextualSpacing/>
      <w:ind w:left="720"/>
    </w:pPr>
  </w:style>
  <w:style w:type="paragraph" w:styleId="707">
    <w:name w:val="Normal (Web)"/>
    <w:basedOn w:val="698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08">
    <w:name w:val="Header"/>
    <w:basedOn w:val="698"/>
    <w:link w:val="709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709" w:customStyle="1">
    <w:name w:val="Верхний колонтитул Знак"/>
    <w:basedOn w:val="699"/>
    <w:link w:val="708"/>
    <w:uiPriority w:val="99"/>
  </w:style>
  <w:style w:type="paragraph" w:styleId="710" w:customStyle="1">
    <w:name w:val="dt-p"/>
    <w:basedOn w:val="698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11" w:customStyle="1">
    <w:name w:val="dt-m"/>
    <w:basedOn w:val="699"/>
  </w:style>
  <w:style w:type="character" w:styleId="712">
    <w:name w:val="annotation reference"/>
    <w:basedOn w:val="699"/>
    <w:semiHidden/>
    <w:unhideWhenUsed/>
    <w:rPr>
      <w:sz w:val="16"/>
      <w:szCs w:val="16"/>
    </w:rPr>
  </w:style>
  <w:style w:type="paragraph" w:styleId="713">
    <w:name w:val="annotation text"/>
    <w:basedOn w:val="698"/>
    <w:link w:val="714"/>
    <w:semiHidden/>
    <w:unhideWhenUsed/>
    <w:pPr>
      <w:spacing w:line="240" w:lineRule="auto"/>
    </w:pPr>
    <w:rPr>
      <w:sz w:val="20"/>
      <w:szCs w:val="20"/>
    </w:rPr>
  </w:style>
  <w:style w:type="character" w:styleId="714" w:customStyle="1">
    <w:name w:val="Текст примечания Знак"/>
    <w:basedOn w:val="699"/>
    <w:link w:val="713"/>
    <w:semiHidden/>
    <w:rPr>
      <w:sz w:val="20"/>
      <w:szCs w:val="20"/>
    </w:rPr>
  </w:style>
  <w:style w:type="paragraph" w:styleId="715">
    <w:name w:val="annotation subject"/>
    <w:basedOn w:val="713"/>
    <w:next w:val="713"/>
    <w:link w:val="716"/>
    <w:uiPriority w:val="99"/>
    <w:semiHidden/>
    <w:unhideWhenUsed/>
    <w:rPr>
      <w:b/>
      <w:bCs/>
    </w:rPr>
  </w:style>
  <w:style w:type="character" w:styleId="716" w:customStyle="1">
    <w:name w:val="Тема примечания Знак"/>
    <w:basedOn w:val="714"/>
    <w:link w:val="715"/>
    <w:uiPriority w:val="99"/>
    <w:semiHidden/>
    <w:rPr>
      <w:b/>
      <w:bCs/>
      <w:sz w:val="20"/>
      <w:szCs w:val="20"/>
    </w:rPr>
  </w:style>
  <w:style w:type="paragraph" w:styleId="717">
    <w:name w:val="Balloon Text"/>
    <w:basedOn w:val="698"/>
    <w:link w:val="71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718" w:customStyle="1">
    <w:name w:val="Текст выноски Знак"/>
    <w:basedOn w:val="699"/>
    <w:link w:val="717"/>
    <w:uiPriority w:val="99"/>
    <w:semiHidden/>
    <w:rPr>
      <w:rFonts w:ascii="Segoe UI" w:hAnsi="Segoe UI" w:cs="Segoe UI"/>
      <w:sz w:val="18"/>
      <w:szCs w:val="18"/>
    </w:rPr>
  </w:style>
  <w:style w:type="character" w:styleId="719">
    <w:name w:val="Hyperlink"/>
    <w:basedOn w:val="699"/>
    <w:uiPriority w:val="99"/>
    <w:semiHidden/>
    <w:unhideWhenUsed/>
    <w:rPr>
      <w:color w:val="0000ff"/>
      <w:u w:val="single"/>
    </w:rPr>
  </w:style>
  <w:style w:type="paragraph" w:styleId="720">
    <w:name w:val="footnote text"/>
    <w:basedOn w:val="698"/>
    <w:link w:val="721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721" w:customStyle="1">
    <w:name w:val="Текст сноски Знак"/>
    <w:basedOn w:val="699"/>
    <w:link w:val="720"/>
    <w:uiPriority w:val="99"/>
    <w:semiHidden/>
    <w:rPr>
      <w:sz w:val="20"/>
      <w:szCs w:val="20"/>
    </w:rPr>
  </w:style>
  <w:style w:type="character" w:styleId="722">
    <w:name w:val="footnote reference"/>
    <w:basedOn w:val="699"/>
    <w:uiPriority w:val="99"/>
    <w:semiHidden/>
    <w:unhideWhenUsed/>
    <w:rPr>
      <w:vertAlign w:val="superscript"/>
    </w:rPr>
  </w:style>
  <w:style w:type="paragraph" w:styleId="723">
    <w:name w:val="Caption"/>
    <w:basedOn w:val="698"/>
    <w:next w:val="698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724">
    <w:name w:val="FollowedHyperlink"/>
    <w:basedOn w:val="699"/>
    <w:uiPriority w:val="99"/>
    <w:semiHidden/>
    <w:unhideWhenUsed/>
    <w:rPr>
      <w:color w:val="800080" w:themeColor="followedHyperlink"/>
      <w:u w:val="single"/>
    </w:rPr>
  </w:style>
  <w:style w:type="paragraph" w:styleId="725">
    <w:name w:val="Body Text Indent 2"/>
    <w:basedOn w:val="698"/>
    <w:link w:val="726"/>
    <w:unhideWhenUsed/>
    <w:pPr>
      <w:ind w:firstLine="709"/>
      <w:jc w:val="both"/>
      <w:spacing w:after="0" w:line="336" w:lineRule="auto"/>
    </w:pPr>
    <w:rPr>
      <w:rFonts w:ascii="Times New Roman" w:hAnsi="Times New Roman" w:eastAsia="SimSun" w:cs="Times New Roman"/>
      <w:sz w:val="28"/>
      <w:szCs w:val="28"/>
      <w:lang w:eastAsia="ru-RU"/>
    </w:rPr>
  </w:style>
  <w:style w:type="character" w:styleId="726" w:customStyle="1">
    <w:name w:val="Основной текст с отступом 2 Знак"/>
    <w:basedOn w:val="699"/>
    <w:link w:val="725"/>
    <w:rPr>
      <w:rFonts w:ascii="Times New Roman" w:hAnsi="Times New Roman" w:eastAsia="SimSun" w:cs="Times New Roman"/>
      <w:sz w:val="28"/>
      <w:szCs w:val="28"/>
      <w:lang w:eastAsia="ru-RU"/>
    </w:rPr>
  </w:style>
  <w:style w:type="paragraph" w:styleId="727">
    <w:name w:val="Body Text"/>
    <w:basedOn w:val="698"/>
    <w:link w:val="728"/>
    <w:uiPriority w:val="99"/>
    <w:unhideWhenUsed/>
    <w:pPr>
      <w:spacing w:after="12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28" w:customStyle="1">
    <w:name w:val="Основной текст Знак"/>
    <w:basedOn w:val="699"/>
    <w:link w:val="727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729">
    <w:name w:val="Table Grid"/>
    <w:basedOn w:val="700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730" w:customStyle="1">
    <w:name w:val="П.1"/>
    <w:basedOn w:val="706"/>
    <w:link w:val="732"/>
    <w:qFormat/>
    <w:pPr>
      <w:numPr>
        <w:ilvl w:val="1"/>
        <w:numId w:val="20"/>
      </w:numPr>
      <w:jc w:val="both"/>
      <w:spacing w:after="0" w:line="240" w:lineRule="auto"/>
      <w:tabs>
        <w:tab w:val="left" w:pos="1701" w:leader="none"/>
      </w:tabs>
    </w:pPr>
    <w:rPr>
      <w:rFonts w:ascii="Times New Roman" w:hAnsi="Times New Roman" w:eastAsia="Times New Roman" w:cs="Times New Roman"/>
      <w:bCs/>
      <w:sz w:val="24"/>
      <w:szCs w:val="24"/>
    </w:rPr>
  </w:style>
  <w:style w:type="paragraph" w:styleId="731" w:customStyle="1">
    <w:name w:val="П.1.1"/>
    <w:basedOn w:val="730"/>
    <w:qFormat/>
    <w:pPr>
      <w:numPr>
        <w:ilvl w:val="2"/>
      </w:numPr>
      <w:ind w:left="1429"/>
      <w:tabs>
        <w:tab w:val="clear" w:pos="1713" w:leader="none"/>
      </w:tabs>
    </w:pPr>
  </w:style>
  <w:style w:type="character" w:styleId="732" w:customStyle="1">
    <w:name w:val="П.1 Char"/>
    <w:link w:val="730"/>
    <w:rPr>
      <w:rFonts w:ascii="Times New Roman" w:hAnsi="Times New Roman" w:eastAsia="Times New Roman" w:cs="Times New Roman"/>
      <w:bCs/>
      <w:sz w:val="24"/>
      <w:szCs w:val="24"/>
    </w:rPr>
  </w:style>
  <w:style w:type="paragraph" w:styleId="733" w:customStyle="1">
    <w:name w:val="П.1.1.1"/>
    <w:basedOn w:val="730"/>
    <w:qFormat/>
    <w:pPr>
      <w:numPr>
        <w:ilvl w:val="3"/>
      </w:numPr>
      <w:ind w:left="1789" w:hanging="1080"/>
      <w:tabs>
        <w:tab w:val="clear" w:pos="720" w:leader="none"/>
      </w:tabs>
    </w:pPr>
  </w:style>
  <w:style w:type="paragraph" w:styleId="734" w:customStyle="1">
    <w:name w:val="П.1.1.1.1"/>
    <w:basedOn w:val="730"/>
    <w:next w:val="735"/>
    <w:qFormat/>
    <w:pPr>
      <w:numPr>
        <w:ilvl w:val="4"/>
      </w:numPr>
      <w:ind w:left="1789"/>
      <w:tabs>
        <w:tab w:val="clear" w:pos="1080" w:leader="none"/>
      </w:tabs>
    </w:pPr>
  </w:style>
  <w:style w:type="paragraph" w:styleId="735" w:customStyle="1">
    <w:name w:val="П.1.1.1.1.1"/>
    <w:basedOn w:val="730"/>
    <w:next w:val="734"/>
    <w:qFormat/>
    <w:pPr>
      <w:numPr>
        <w:ilvl w:val="5"/>
      </w:numPr>
      <w:ind w:left="2149" w:hanging="1440"/>
      <w:tabs>
        <w:tab w:val="clear" w:pos="1080" w:leader="none"/>
      </w:tabs>
    </w:pPr>
  </w:style>
  <w:style w:type="paragraph" w:styleId="736" w:customStyle="1">
    <w:name w:val="П.глава"/>
    <w:basedOn w:val="706"/>
    <w:next w:val="730"/>
    <w:qFormat/>
    <w:pPr>
      <w:numPr>
        <w:ilvl w:val="0"/>
        <w:numId w:val="20"/>
      </w:numPr>
      <w:ind w:right="-6"/>
      <w:jc w:val="center"/>
      <w:spacing w:before="240" w:after="240" w:line="240" w:lineRule="auto"/>
    </w:pPr>
    <w:rPr>
      <w:rFonts w:ascii="Times New Roman" w:hAnsi="Times New Roman" w:eastAsia="Times New Roman" w:cs="Times New Roman"/>
      <w:bCs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https://rossetimr.ru/zakupki/prav_obesp/2021/2021-29-06-prikaz-479.zip" TargetMode="External"/><Relationship Id="rId11" Type="http://schemas.openxmlformats.org/officeDocument/2006/relationships/hyperlink" Target="https://rossetimr.ru/zakupki/prav_obesp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0B5350-8ED5-46F0-BAEB-14A525835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MOESK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Svetlana</dc:creator>
  <cp:lastModifiedBy>kuprashevichaa</cp:lastModifiedBy>
  <cp:revision>5</cp:revision>
  <dcterms:created xsi:type="dcterms:W3CDTF">2024-06-18T07:30:00Z</dcterms:created>
  <dcterms:modified xsi:type="dcterms:W3CDTF">2026-07-14T07:39:24Z</dcterms:modified>
</cp:coreProperties>
</file>